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p>
            <w:pPr>
              <w:jc w:val="center"/>
              <w:spacing w:after="0" w:line="240" w:lineRule="auto"/>
              <w:rPr>
                <w:sz w:val="22"/>
                <w:szCs w:val="22"/>
              </w:rPr>
            </w:pPr>
            <w:r>
              <w:rPr>
                <w:rFonts w:ascii="Times New Roman" w:hAnsi="Times New Roman" w:cs="Times New Roman"/>
                <w:color w:val="#000000"/>
                <w:sz w:val="22"/>
                <w:szCs w:val="22"/>
              </w:rPr>
              <w:t> Основы истории религии</w:t>
            </w:r>
          </w:p>
          <w:p>
            <w:pPr>
              <w:jc w:val="center"/>
              <w:spacing w:after="0" w:line="240" w:lineRule="auto"/>
              <w:rPr>
                <w:sz w:val="22"/>
                <w:szCs w:val="22"/>
              </w:rPr>
            </w:pPr>
            <w:r>
              <w:rPr>
                <w:rFonts w:ascii="Times New Roman" w:hAnsi="Times New Roman" w:cs="Times New Roman"/>
                <w:color w:val="#000000"/>
                <w:sz w:val="22"/>
                <w:szCs w:val="22"/>
              </w:rPr>
              <w:t> Религиоведение</w:t>
            </w:r>
          </w:p>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736.4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философии XVIII-XIX вв. Судьба и предназначение человека. Смысл жизни и проблема бессмертия человека.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33.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2023-2024_ФГОС3++2023_Бак-ЗФО-ПО(ИО)(23)_plx_Философия</dc:title>
  <dc:creator>FastReport.NET</dc:creator>
</cp:coreProperties>
</file>